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center"/>
        <w:tblLayout w:type="fixed"/>
        <w:tblLook w:val="0400"/>
      </w:tblPr>
      <w:tblGrid>
        <w:gridCol w:w="2279"/>
        <w:gridCol w:w="8080"/>
        <w:tblGridChange w:id="0">
          <w:tblGrid>
            <w:gridCol w:w="2279"/>
            <w:gridCol w:w="8080"/>
          </w:tblGrid>
        </w:tblGridChange>
      </w:tblGrid>
      <w:tr>
        <w:trPr>
          <w:trHeight w:val="11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32"/>
                <w:szCs w:val="32"/>
                <w:rtl w:val="0"/>
              </w:rPr>
              <w:t xml:space="preserve">Pracovní skupina Matematická a digitální gramotnost na základních školách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20.4.2021,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32"/>
                <w:szCs w:val="32"/>
                <w:highlight w:val="white"/>
                <w:rtl w:val="0"/>
              </w:rPr>
              <w:t xml:space="preserve">Google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Začátek pracovní skupiny probíhal zjišťováním informací, jak vypadá situace ve školách a jak funguje rotační výuka.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Hlavním tématem pracovní skupiny byla prezentace paní ředitelky Jany Hassmanové.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Předvedla program Smart Learning Suite Online.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Poukázala na jeho výhody a oživení tím výuky pro žáky a také učitele.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programu se dají najít kolonky rovnic, slovních úloh, zlomky procenta a další jiné.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výhodou je ověřování správnosti řešení „únikovka“, kdy žáci sbírají indície a ověřují si tím správnost odpovědí a řešení.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Licence k tomuto programu je placená, částka 600 Kč na rok na osobu.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velmi přínosná aplikace vhodná k výuce matematiky je MATH PLAYGROUND.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Dále se řešilo téma seminářů, paní Adámková zde uvedla seminář Geogebry, který se uskuteční 28.4.2021 od 8h do 15h, mohl by být velice přínosný pro pedagogy matematiky.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Proběhla diskuze o možnosti využívání BYOD ve výuce. Pro základní školy není takový přístup vhodný z více důvodů, které budou reflektovány v připravované swot analýze k rozvoji matematické gramotnosti.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Dále byly diskutovány možnosti výuky geometrie elektronickou formou.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se uskuteční po společné domluvě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Kvasničková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J/bOkbSelrtLWF+GGsPhPh3qeg==">AMUW2mUuloQ8wLTNmToj4SEK4z0vYP/bAQboeJzqE6djk5ZtFiIu89iJpHexf+ZtlVnSxH6v7TtH4mCUs5VXYDTuzrkfcxkg9UqmALarDMQCdwxQvpWHwOFrCIcidbAicg59JW558ys/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2021-04-20T13:53:00Z</dcterms:created>
  <dc:creator>Lnenickova</dc:creator>
</cp:coreProperties>
</file>