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(Beseda se zábavnou únikovou hrou ke knížce Třída špionů)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10:15-11:45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Staňkovice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bookmarkStart w:colFirst="0" w:colLast="0" w:name="_heading=h.xikr34iy87ah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Beseda se zábavnou únikovou hrou ke knížce Třída špionů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bookmarkStart w:colFirst="0" w:colLast="0" w:name="_heading=h.nooxk0b34um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pq4omhsudmv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1ua6o82wfg7w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Obsah besedy: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99v4o7y1fizy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- povídání o tom, jak vzniká knížka, jak se tvoří ilustrace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1mdpc0dp4afl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- vyprávění o knize a putování se Třídou špionů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q5v7c9lvdn2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- tajemná historie hradů v ČR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6vx2y4fimgst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- autorské čtení z knihy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8bsv51zfmkvc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- zábavná úniková hra - Zachraňte Hynka Zlobína ze Zlobína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i9cc9795xfi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4u8k4fiokwfv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8wpm6fxyvma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Starší žáci (2. – 5. třída) byli seznámeni s tvorbou knih . Byli vtaženi do příběhu z autorčiny knihy Třída špiónů – Záhada strašidelného hradu, seznámili se s hrady u nás v České republice, ke kterým se vážou strašidelné pověsti.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gomdlaw4vbwo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Zahráli si únikovou hru, při které osvobodili zakletého Hynka z hradu. Za úspěšné vysvobození dostali od paní spisovatelky sladkou odměnu. Krásně strávené chvíle, do které se zapojili všichni, i ti, kteří zatím neobjevili kouzlo knih.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wgq984jcgxcj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1aomlqc9axo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hujDLTv7k1ojh4VDcdQm6j94Q==">CgMxLjAyDmgueGlrcjM0aXk4N2FoMg5oLm5vb3hrMGIzNHVtZTIOaC5wcTRvbWhzdWRtdjUyDmguMXVhNm84MndmZzd3Mg5oLjk5djRvN3kxZml6eTIOaC4xbWRwYzBkcDRhZmwyDmgucTV2N2M5bHZkbjJtMg5oLjZ2eDJ5NGZpbWdzdDIOaC44YnN2NTF6Zm1rdmMyDmguaTljYzk3OTV4Zml4Mg5oLjR1OGs0Zmlva3dmdjIOaC44d3BtNmZ4eXZtYW4yDmguZ29tZGxhdzR2YndvMg5oLndncTk4NGpjZ3hjajINaC4xYW9tbHFjOWF4bzgAciExbXJOc3hPOFhONHdHakVtV3JTMl9DMmdzbUZwX212T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